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BBE" w:rsidRDefault="00D3019C">
      <w:pPr>
        <w:pStyle w:val="Heading1"/>
      </w:pPr>
      <w:bookmarkStart w:id="0" w:name="prisma-2020-main-checklist"/>
      <w:r>
        <w:t>PRISMA 2020 Main Checklist</w:t>
      </w:r>
    </w:p>
    <w:tbl>
      <w:tblPr>
        <w:tblW w:w="0" w:type="auto"/>
        <w:jc w:val="center"/>
        <w:tblLook w:val="0420" w:firstRow="1" w:lastRow="0" w:firstColumn="0" w:lastColumn="0" w:noHBand="0" w:noVBand="1"/>
      </w:tblPr>
      <w:tblGrid>
        <w:gridCol w:w="1817"/>
        <w:gridCol w:w="470"/>
        <w:gridCol w:w="3227"/>
        <w:gridCol w:w="3826"/>
      </w:tblGrid>
      <w:tr w:rsidR="00291BBE">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291BBE" w:rsidRDefault="00D3019C">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291BBE" w:rsidRDefault="00D3019C">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291BBE" w:rsidRDefault="00D3019C">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291BBE" w:rsidRDefault="00D3019C">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bookmarkStart w:id="1" w:name="_GoBack"/>
            <w:r w:rsidR="0024689F" w:rsidRPr="0024689F">
              <w:rPr>
                <w:rFonts w:ascii="DejaVu Sans" w:eastAsia="DejaVu Sans" w:hAnsi="DejaVu Sans" w:cs="DejaVu Sans"/>
                <w:color w:val="000000"/>
                <w:sz w:val="18"/>
                <w:szCs w:val="18"/>
              </w:rPr>
              <w:t>Exploring the Impact of YouTube Videos on Improving Listening Skills for EFL Secondary School Students in Sudan</w:t>
            </w:r>
            <w:bookmarkEnd w:id="1"/>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See the PRISMA 2020 for Abstracts checklist</w:t>
            </w:r>
          </w:p>
        </w:tc>
        <w:tc>
          <w:tcPr>
            <w:tcW w:w="0" w:type="auto"/>
            <w:tcBorders>
              <w:righ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24689F" w:rsidRPr="0024689F">
              <w:rPr>
                <w:rFonts w:ascii="DejaVu Sans" w:eastAsia="DejaVu Sans" w:hAnsi="DejaVu Sans" w:cs="DejaVu Sans"/>
                <w:color w:val="000000"/>
                <w:sz w:val="18"/>
                <w:szCs w:val="18"/>
              </w:rPr>
              <w:t>This study's objectives were to (1) investigate the amount to which English as a Foreign Language (EFL) secondary school students in Sudan benefit from watching YouTube videos in order to enhance their listening abilities, and (2) establish the extent to which EFL learners watch YouTube videos in order to improve their listening skills.</w:t>
            </w:r>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24689F" w:rsidRPr="0024689F">
              <w:rPr>
                <w:rFonts w:ascii="DejaVu Sans" w:eastAsia="DejaVu Sans" w:hAnsi="DejaVu Sans" w:cs="DejaVu Sans"/>
                <w:color w:val="000000"/>
                <w:sz w:val="18"/>
                <w:szCs w:val="18"/>
              </w:rPr>
              <w:t>Students from forty-seven different Sudanese secondary schools who are taking English as a foreign language</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24689F" w:rsidRPr="0024689F">
              <w:rPr>
                <w:rFonts w:ascii="DejaVu Sans" w:eastAsia="DejaVu Sans" w:hAnsi="DejaVu Sans" w:cs="DejaVu Sans"/>
                <w:color w:val="000000"/>
                <w:sz w:val="18"/>
                <w:szCs w:val="18"/>
              </w:rPr>
              <w:t>The data were collected in this study using a questionnaire as a data gathering device.</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lastRenderedPageBreak/>
              <w:t>Data collection process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24689F" w:rsidRPr="0024689F">
              <w:rPr>
                <w:rFonts w:ascii="DejaVu Sans" w:eastAsia="DejaVu Sans" w:hAnsi="DejaVu Sans" w:cs="DejaVu Sans"/>
                <w:color w:val="000000"/>
                <w:sz w:val="18"/>
                <w:szCs w:val="18"/>
              </w:rPr>
              <w:t>The questionnaire was designed based on the five questions of the study so as to investigate the impact of using YouTube videos presented by specialists in the field of teaching English as a foreign language on enhancing English language listening skills. Each item has five degrees describing participants’ responses starting from (Strongly Disagree) which has given 1 point, then (Disagree) which has given 2 points, and (Neutral) which has given 3 points, before thelast (Agree) which has given 4 points and finally (Strongly Agree) has given 5 points. The axes of the questionnaire contain twenty-four items which represent the sub-skills proposed by (Walker &amp; Goodith 2017) in a list of listening abilities which learners need to develop based on a combination of experiences in teaching listening which are needed by EFL learners to improve their listening skills using YouTube videos.</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24689F" w:rsidRPr="0024689F">
              <w:rPr>
                <w:rFonts w:ascii="DejaVu Sans" w:eastAsia="DejaVu Sans" w:hAnsi="DejaVu Sans" w:cs="DejaVu Sans"/>
                <w:color w:val="000000"/>
                <w:sz w:val="18"/>
                <w:szCs w:val="18"/>
              </w:rPr>
              <w:t>All of the students studied the English language as a major required course of the Sudan government syllabus of the secondary schools which qualifies them to enter universities.</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24689F" w:rsidRPr="0024689F">
              <w:rPr>
                <w:rFonts w:ascii="DejaVu Sans" w:eastAsia="DejaVu Sans" w:hAnsi="DejaVu Sans" w:cs="DejaVu Sans"/>
                <w:color w:val="000000"/>
                <w:sz w:val="18"/>
                <w:szCs w:val="18"/>
              </w:rPr>
              <w:t>Participants had at least 4 years of experience surfing the internet and watching YouTube videos.</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rsidR="007B6025" w:rsidRDefault="00D3019C" w:rsidP="007B6025">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F157EA">
              <w:rPr>
                <w:rFonts w:ascii="DejaVu Sans" w:eastAsia="DejaVu Sans" w:hAnsi="DejaVu Sans" w:cs="DejaVu Sans"/>
                <w:color w:val="000000"/>
                <w:sz w:val="18"/>
                <w:szCs w:val="18"/>
              </w:rPr>
              <w:t>page 5, result</w:t>
            </w:r>
          </w:p>
          <w:p w:rsidR="007B6025" w:rsidRP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Firstly, the responses of the students to each axis of the questionnaire are statistically analysed to find the mean in order to find where the centre value is located and to make projections about a standard of normalcy within the students who respond to the questionnaire. Second, the standard deviation of each axis is calculated to find how spread out the data is. It is a measure of how far each observed value is from the mean in any distribution. Then the percentages of the items are calculated to find the highest and the lowest so as to set the directions of the samples and their ranks.</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lastRenderedPageBreak/>
              <w:t>Results of individual studies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rsidR="007B6025" w:rsidRDefault="00D3019C" w:rsidP="007B6025">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7B6025" w:rsidRPr="007B6025">
              <w:rPr>
                <w:rFonts w:ascii="DejaVu Sans" w:eastAsia="DejaVu Sans" w:hAnsi="DejaVu Sans" w:cs="DejaVu Sans"/>
                <w:color w:val="000000"/>
                <w:sz w:val="18"/>
                <w:szCs w:val="18"/>
              </w:rPr>
              <w:t>It appears that the second statement (Discriminating between sounds) has the highest mean (M=3.8), (75.7%), this shows that students’ responses move towards the sample direction of the response (Agree) which makes this statement’s rank number one, the SD (6.7) represents a far distance from the mean as a result of the differences between the statements’ answers. The first statement (Observing individual sounds) comes second in order, it has the second mean (M=3.6). The third statement (Indicate diminished sounds in connected speech.) represents a direction to the response (Neutral) with (M=3.2) mean and (64.7%) of the sample, but (SD =2.3) shows a far distance difference between the students’ responses. The statement (Identifying stressed syllables) comes in the fourth rank with (M=3.1) and (61.3%) and its (SD=1.1) demonstrates that the values gathered around the average.</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In the second part of the questionnaire, it is shown that the responses of students (Identifying individual word boundaries), (Identifying words), (Building an idea about how the words are connected in meaningful units), (Pinpointing ‘key’ words that provide an idea about the topic), (Determining discourse markers which construct and explain attitudes towards speech) and (Inferring the meaning of unknown words), display means in the area of (Agree) because all the statements have no significant differences between values. They also represent their percentages between (70.6%) in the highest score and (75.3%) in the lowest score which display similarities in their responses. (SD=1.75) and (SD=0.17) which indicate that the values tend to be the same as the means and not far from them.</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The statements of part three of the questionnaire are designed to evaluate students’ ability to get the meaning using their previous information about the topic. The three items (Applying knowledge about the arrangement that appropriate oral interactions frequently take), (Applying knowledge about the arrangements that appropriate oral interactions frequently take) and (Practicing awareness of the topic to hunch what the speaker will say about it), these three items’ take the sample direction towards (Agree) because their means (3.6), (3.6) and (3.5), represent similarities in students’ responses. Their percentages also (72.8%), (72.3) and (70.6) show similarities. The SDs (5.18), (5.41) and (5.32) indicate that the values tend to be far from their means.</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 xml:space="preserve">This similarity indicates that the responses gathered in the central part of the questionnaire, this similarity displays that the direction of the sample moves towards (Agree) without significant differences in their percentages (74.9), (74), (72.34) and (71.1). All of the items on this </w:t>
            </w:r>
            <w:r w:rsidRPr="007B6025">
              <w:rPr>
                <w:rFonts w:ascii="DejaVu Sans" w:eastAsia="DejaVu Sans" w:hAnsi="DejaVu Sans" w:cs="DejaVu Sans"/>
                <w:color w:val="000000"/>
                <w:sz w:val="18"/>
                <w:szCs w:val="18"/>
              </w:rPr>
              <w:lastRenderedPageBreak/>
              <w:t>axis have semi-similar means (3.7), (3.7), and (3.6). The values have a tendency to be somewhat distant from the means as a result of the considerable variations between the replies, as indicated by the standard deviations of the four items, which are as follows: (6.19), (5.37), (5.13) and (5.18).</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In the fifth axis the response to the third item (Identifying the speaker’s mood/attitude) shows the highest mean (3.7). But it also it displays an odd standard deviation (7.5) which indicates that the values are far from the central tendencies such as the mean. It has the highest percentage (74.9%) and it goes towards (Agree) as a sample direction. The second item (Recognizing the speaker’s intention) displays the second highest mean (3.5), but also it displays an odd standard deviation (6.6) which indicates that the values are far from the central tendencies such as the mean. It has the second highest percentage (69.4%) and it goes towards (Agree) as a sample direction.</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Item 4 (Anticipating what the speaker will say later), and item 5 (Noticing turn-taking signals) and 1 (Pinpointing the speaker’s attitude) show means (3.3), (3.3) and (3.2) which explain similarities between students’ responses to them, in addition to semi-similar standard</w:t>
            </w:r>
            <w:r>
              <w:rPr>
                <w:rFonts w:ascii="DejaVu Sans" w:eastAsia="DejaVu Sans" w:hAnsi="DejaVu Sans" w:cs="DejaVu Sans"/>
                <w:color w:val="000000"/>
                <w:sz w:val="18"/>
                <w:szCs w:val="18"/>
              </w:rPr>
              <w:t xml:space="preserve"> </w:t>
            </w:r>
            <w:r w:rsidRPr="007B6025">
              <w:rPr>
                <w:rFonts w:ascii="DejaVu Sans" w:eastAsia="DejaVu Sans" w:hAnsi="DejaVu Sans" w:cs="DejaVu Sans"/>
                <w:color w:val="000000"/>
                <w:sz w:val="18"/>
                <w:szCs w:val="18"/>
              </w:rPr>
              <w:t xml:space="preserve">deviation values (5.4), (5.9) and (5.3) which indicate that the values are far from the central tendencies. Their percentages are semi-equal (66.4%), (66.3%) and (64.7%), all of them are found in (Not Sure) sample direction. </w:t>
            </w:r>
          </w:p>
          <w:p w:rsidR="007B6025" w:rsidRP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The last item (Developing a return to what the speaker has said.) explains the lowest mean (2.7) which is (Neural), sample direction with percentage (54.1%) tends to be (Disagree). It has the lowest SD (2.0), which indicates that this value has tended towards the central tendencies.</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lastRenderedPageBreak/>
              <w:t>Results of syntheses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lastRenderedPageBreak/>
              <w:t>Reporting biases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rsidR="007B6025" w:rsidRDefault="00D3019C" w:rsidP="007B6025">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7B6025" w:rsidRPr="007B6025">
              <w:rPr>
                <w:rFonts w:ascii="DejaVu Sans" w:eastAsia="DejaVu Sans" w:hAnsi="DejaVu Sans" w:cs="DejaVu Sans"/>
                <w:color w:val="000000"/>
                <w:sz w:val="18"/>
                <w:szCs w:val="18"/>
              </w:rPr>
              <w:t>(66.80%) of the students are aware of the importance of listening skills</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(33.20%) of the students do not have sufficient perception about how these videos can help them, they need more guidance by teachers to increase their awareness about these videos, and they also need to be informed about how video sharing libraries have great roles in enhancing their skills.</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(73.33%) of the students can match sounds to language items in an effort to move towards understanding meaning using when watching YouTube videos, and this percentage is not ideal.</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In investigating the ability to understand and clarify the meaning of a spoken message using knowledge of the world, (71.90%) of the students are able to do that, but not at the highest level because (28.10%) cannot interpret the meaning.</w:t>
            </w:r>
          </w:p>
          <w:p w:rsid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(73.09%) of the students said they that watching YouTube videos has improved their ability to deal with information said by speakers, (26.01%) lack the ability to deal with information in when they listen to YouTube videos, these students need more practice using other techniques such as electronic dictionaries in accompany with watching native-speakers’ videos.</w:t>
            </w:r>
          </w:p>
          <w:p w:rsidR="007B6025" w:rsidRP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(56.97%) of the students have the ability to communicate with speakers, if he requires a reply, they can interact with him freely. (43.03%) of the students do not have the ability to developing a turn taking techniques to respond to what the speaker has said, they lack the ability to oppose with changes among speakers, in this level, the students need to improve their speaking skills because listening mirrors speaking.</w:t>
            </w:r>
          </w:p>
        </w:tc>
      </w:tr>
      <w:tr w:rsidR="00291BB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0" w:type="auto"/>
            <w:tcBorders>
              <w:right w:val="single" w:sz="8" w:space="0" w:color="000000"/>
            </w:tcBorders>
            <w:shd w:val="clear" w:color="auto" w:fill="FFFFFF"/>
            <w:tcMar>
              <w:top w:w="0" w:type="dxa"/>
              <w:left w:w="0" w:type="dxa"/>
              <w:bottom w:w="0" w:type="dxa"/>
              <w:right w:w="0" w:type="dxa"/>
            </w:tcMar>
          </w:tcPr>
          <w:p w:rsidR="007B6025" w:rsidRDefault="00D3019C" w:rsidP="007B6025">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7B6025" w:rsidRPr="007B6025">
              <w:rPr>
                <w:rFonts w:ascii="DejaVu Sans" w:eastAsia="DejaVu Sans" w:hAnsi="DejaVu Sans" w:cs="DejaVu Sans"/>
                <w:color w:val="000000"/>
                <w:sz w:val="18"/>
                <w:szCs w:val="18"/>
              </w:rPr>
              <w:t>Few limitations should be stated and showed for more and additional research. Personality traits of the participants which may have impacts on the results are not measured.</w:t>
            </w:r>
          </w:p>
          <w:p w:rsidR="007B6025" w:rsidRPr="007B6025" w:rsidRDefault="007B6025" w:rsidP="007B6025">
            <w:pPr>
              <w:spacing w:before="100" w:after="100"/>
              <w:ind w:left="100" w:right="100"/>
              <w:jc w:val="center"/>
              <w:rPr>
                <w:rFonts w:ascii="DejaVu Sans" w:eastAsia="DejaVu Sans" w:hAnsi="DejaVu Sans" w:cs="DejaVu Sans"/>
                <w:color w:val="000000"/>
                <w:sz w:val="18"/>
                <w:szCs w:val="18"/>
              </w:rPr>
            </w:pPr>
            <w:r w:rsidRPr="007B6025">
              <w:rPr>
                <w:rFonts w:ascii="DejaVu Sans" w:eastAsia="DejaVu Sans" w:hAnsi="DejaVu Sans" w:cs="DejaVu Sans"/>
                <w:color w:val="000000"/>
                <w:sz w:val="18"/>
                <w:szCs w:val="18"/>
              </w:rPr>
              <w:t>The size of the sample participated in this study was not big, and the activities applied by students for their learning process learning were short, both of which factors may limit any broad generalizations being drawn from the results.</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r w:rsidR="007B6025" w:rsidRPr="007B6025">
              <w:rPr>
                <w:rFonts w:ascii="DejaVu Sans" w:eastAsia="DejaVu Sans" w:hAnsi="DejaVu Sans" w:cs="DejaVu Sans"/>
                <w:color w:val="000000"/>
                <w:sz w:val="18"/>
                <w:szCs w:val="18"/>
              </w:rPr>
              <w:t>address these limitations. Furthermore, a study on the role of YouTube in improving speaking skills will be carried out to fill the gap between the two spoken skills (listening and speaking).</w:t>
            </w:r>
          </w:p>
        </w:tc>
      </w:tr>
      <w:tr w:rsidR="00291BBE">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291BBE" w:rsidRDefault="00291BBE">
            <w:pPr>
              <w:spacing w:before="100" w:after="100"/>
              <w:ind w:left="100" w:right="100"/>
              <w:jc w:val="center"/>
            </w:pPr>
          </w:p>
        </w:tc>
        <w:tc>
          <w:tcPr>
            <w:tcW w:w="0" w:type="auto"/>
            <w:shd w:val="clear" w:color="auto" w:fill="FFFFCC"/>
            <w:tcMar>
              <w:top w:w="0" w:type="dxa"/>
              <w:left w:w="0" w:type="dxa"/>
              <w:bottom w:w="0" w:type="dxa"/>
              <w:right w:w="0" w:type="dxa"/>
            </w:tcMar>
          </w:tcPr>
          <w:p w:rsidR="00291BBE" w:rsidRDefault="00291BBE">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291BBE" w:rsidRDefault="00291BBE">
            <w:pPr>
              <w:spacing w:before="100" w:after="100"/>
              <w:ind w:left="100" w:right="100"/>
              <w:jc w:val="center"/>
            </w:pP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291BBE" w:rsidRDefault="00291BBE">
            <w:pPr>
              <w:spacing w:before="100" w:after="100"/>
              <w:ind w:left="100" w:right="100"/>
            </w:pP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r w:rsidR="00291BBE">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rsidR="00291BBE" w:rsidRDefault="00D3019C">
            <w:pPr>
              <w:spacing w:before="100" w:after="100"/>
              <w:ind w:left="100" w:right="100"/>
              <w:jc w:val="center"/>
            </w:pPr>
            <w:r>
              <w:rPr>
                <w:rFonts w:ascii="DejaVu Sans" w:eastAsia="DejaVu Sans" w:hAnsi="DejaVu Sans" w:cs="DejaVu Sans"/>
                <w:color w:val="000000"/>
                <w:sz w:val="18"/>
                <w:szCs w:val="18"/>
              </w:rPr>
              <w:t>-</w:t>
            </w:r>
          </w:p>
        </w:tc>
      </w:tr>
    </w:tbl>
    <w:p w:rsidR="00291BBE" w:rsidRDefault="00D3019C">
      <w:pPr>
        <w:pStyle w:val="FirstParagraph"/>
      </w:pPr>
      <w:r>
        <w:t> </w:t>
      </w:r>
    </w:p>
    <w:p w:rsidR="0024689F" w:rsidRPr="0024689F" w:rsidRDefault="0024689F" w:rsidP="0024689F">
      <w:pPr>
        <w:pStyle w:val="BodyText"/>
      </w:pPr>
      <w:r>
        <w:t xml:space="preserve">Abstracgt: </w:t>
      </w:r>
      <w:r w:rsidRPr="0024689F">
        <w:t>This study was carried out with the participation of forty-seven (47) high school students who were required to take English in order to continue their education at the university level. The participants were asked to respond to a given questionnaire composed from (5) axes, each axis has many items, the target was to explore the effect of watching YouTube on listening skills. Their responses were analyzed statistically, the results showed that some students were aware of the importance of listening skills and few do not have the sufficient perception about how these videos can help them. Their ability to interact with the speaker was showed as one of the most required skills, mastering this skill helps the students to interact with speakers. Students' ability to process information has been boosted by watching YouTube videos, and most will speak up if the presenter requests it, but many still struggle to come up with an appropriate answer to what was said, and many more are unable to adapt to differences in delivery style. We recommend watching the videos in the accompanying table.</w:t>
      </w:r>
    </w:p>
    <w:p w:rsidR="00291BBE" w:rsidRDefault="00D3019C">
      <w:pPr>
        <w:pStyle w:val="BodyText"/>
      </w:pPr>
      <w:r>
        <w:rPr>
          <w:i/>
          <w:iCs/>
        </w:rPr>
        <w:lastRenderedPageBreak/>
        <w:t>From:</w:t>
      </w:r>
      <w:r>
        <w:t xml:space="preserve"> </w:t>
      </w:r>
      <w:r>
        <w:t xml:space="preserve">Page MJ, McKenzie JE, Bossuyt PM, Boutron I, Hoffmann TC, Mulrow CD, et al. The PRISMA 2020 statement: an updated guideline for reporting systematic reviews. MetaArXiv. 2020, September 14. DOI: 10.31222/osf.io/v7gm2. For more information, visit: </w:t>
      </w:r>
      <w:hyperlink r:id="rId7">
        <w:r>
          <w:rPr>
            <w:rStyle w:val="Hyperlink"/>
          </w:rPr>
          <w:t>www.prisma-statement.org</w:t>
        </w:r>
      </w:hyperlink>
      <w:bookmarkEnd w:id="0"/>
    </w:p>
    <w:sectPr w:rsidR="00291BBE"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19C" w:rsidRDefault="00D3019C">
      <w:pPr>
        <w:spacing w:after="0"/>
      </w:pPr>
      <w:r>
        <w:separator/>
      </w:r>
    </w:p>
  </w:endnote>
  <w:endnote w:type="continuationSeparator" w:id="0">
    <w:p w:rsidR="00D3019C" w:rsidRDefault="00D301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D3019C">
        <w:pPr>
          <w:pStyle w:val="Footer"/>
          <w:jc w:val="right"/>
        </w:pPr>
        <w:r>
          <w:fldChar w:fldCharType="begin"/>
        </w:r>
        <w:r>
          <w:instrText xml:space="preserve"> PAGE   \* MERGEFORMAT </w:instrText>
        </w:r>
        <w:r>
          <w:fldChar w:fldCharType="separate"/>
        </w:r>
        <w:r w:rsidR="007B6025">
          <w:rPr>
            <w:noProof/>
          </w:rPr>
          <w:t>1</w:t>
        </w:r>
        <w:r>
          <w:rPr>
            <w:noProof/>
          </w:rPr>
          <w:fldChar w:fldCharType="end"/>
        </w:r>
      </w:p>
    </w:sdtContent>
  </w:sdt>
  <w:p w:rsidR="00FC37A3" w:rsidRDefault="00D301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19C" w:rsidRDefault="00D3019C">
      <w:r>
        <w:separator/>
      </w:r>
    </w:p>
  </w:footnote>
  <w:footnote w:type="continuationSeparator" w:id="0">
    <w:p w:rsidR="00D3019C" w:rsidRDefault="00D30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51742BD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BBE"/>
    <w:rsid w:val="0024689F"/>
    <w:rsid w:val="00291BBE"/>
    <w:rsid w:val="007B6025"/>
    <w:rsid w:val="00D3019C"/>
    <w:rsid w:val="00F157E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AA4816-5D84-4318-8CEF-6A8873283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rama\ARTIKEL\REVIEW%20CHECKLIST\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2581</Words>
  <Characters>14718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2024-01-07T15:55:00Z</dcterms:created>
  <dcterms:modified xsi:type="dcterms:W3CDTF">2024-01-07T15:55:00Z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